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image/jpeg" Extension="jpeg"/>
  <Default ContentType="image/gif" Extension="gif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'1.0' encoding='utf-8' standalone='yes'?>
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word/document.xml" Type="http://schemas.openxmlformats.org/officeDocument/2006/relationships/officeDocument"/></Relationships>
</file>

<file path=word/document.xml><?xml version="1.0" encoding="utf-8"?>
<w:document xmlns:a="http://schemas.openxmlformats.org/drawingml/2006/main" xmlns:c="http://schemas.openxmlformats.org/drawingml/2006/chart" xmlns:v="urn:schemas-microsoft-com:vml" xmlns:lc="http://schemas.openxmlformats.org/drawingml/2006/lockedCanvas" xmlns:mc="http://schemas.openxmlformats.org/markup-compatibility/2006" xmlns:wne="http://schemas.microsoft.com/office/word/2006/wordml" xmlns:pic="http://schemas.openxmlformats.org/drawingml/2006/picture" xmlns:m="http://schemas.openxmlformats.org/officeDocument/2006/math" xmlns:o="urn:schemas-microsoft-com:office:office" xmlns:dgm="http://schemas.openxmlformats.org/drawingml/2006/diagram" xmlns:r="http://schemas.openxmlformats.org/officeDocument/2006/relationships" xmlns:w="http://schemas.openxmlformats.org/wordprocessingml/2006/main" xmlns:sl="http://schemas.openxmlformats.org/schemaLibrary/2006/main" xmlns:w10="urn:schemas-microsoft-com:office:word" xmlns:wp="http://schemas.openxmlformats.org/drawingml/2006/wordprocessingDrawing">
  <w:body>
    <w:p>
      <w:pPr>
        <w:pStyle w:val="0"/>
        <w:spacing w:lineRule="atLeast" w:line="240"/>
        <w:rPr>
          <w:sz w:val="28"/>
        </w:rPr>
      </w:pPr>
    </w:p>
    <w:p>
      <w:pPr>
        <w:pStyle w:val="0"/>
        <w:rPr>
          <w:sz w:val="26"/>
        </w:rPr>
      </w:pPr>
    </w:p>
    <w:p>
      <w:pPr>
        <w:jc w:val="both"/>
        <w:ind w:firstLine="708"/>
        <w:pStyle w:val="0"/>
        <w:rPr>
          <w:sz w:val="28"/>
        </w:rPr>
      </w:pPr>
      <w:r>
        <w:rPr>
          <w:sz w:val="28"/>
        </w:rPr>
        <w:t xml:space="preserve">Информируем о принятии Федерального закона от 30.12.2020 № 518-ФЗ «О внесении изменений в отдельные законодательные акты Российской Федерации» (далее – Закон № 518-ФЗ), положениями которого предусмотрено проведение органами местного самоуправления мероприятий по выявлению правообладателей объектов недвижимости, которые считаются ранее учтенными объектами недвижимости или сведения о которых могут быть внесены в Единый государственный реестр недвижимости (далее – ЕГРН) по правилам, предусмотренным для внесения сведений о ранее учтенных объектах недвижимости, и мероприятия по обеспечению внесения в ЕГРН сведений о правообладателях ранее учтенных объектов недвижимости в случае, если правоустанавливающие документы на ранее учтенные объекты недвижимости или документы, удостоверяющие права на такие объекты недвижимости, были оформлены до дня вступления в силу Федерального закона от 21.07.1997 № 122-ФЗ «О государственной регистрации прав на недвижимое имущество и сделок с ним» и права на такие объекты недвижимости, подтверждающиеся указанными документами, не зарегистрированы в ЕГРН. </w:t>
      </w:r>
    </w:p>
    <w:p>
      <w:pPr>
        <w:jc w:val="both"/>
        <w:ind w:firstLine="708"/>
        <w:pStyle w:val="0"/>
        <w:rPr>
          <w:sz w:val="28"/>
        </w:rPr>
      </w:pPr>
      <w:r>
        <w:rPr>
          <w:sz w:val="28"/>
        </w:rPr>
        <w:t xml:space="preserve">Обращаем внимание, что Закон № 518-ФЗ вступает в силу </w:t>
      </w:r>
      <w:r>
        <w:rPr>
          <w:sz w:val="28"/>
          <w:u w:val="single"/>
        </w:rPr>
        <w:t>29.06.2021</w:t>
      </w:r>
      <w:r>
        <w:rPr>
          <w:sz w:val="28"/>
        </w:rPr>
        <w:t xml:space="preserve">. Согласно положениям Закона № 518-ФЗ вышеуказанные мероприятия включают в себя: </w:t>
      </w:r>
    </w:p>
    <w:p>
      <w:pPr>
        <w:jc w:val="both"/>
        <w:ind w:firstLine="168"/>
        <w:pStyle w:val="0"/>
        <w:rPr>
          <w:sz w:val="28"/>
        </w:rPr>
      </w:pPr>
      <w:r>
        <w:rPr>
          <w:sz w:val="28"/>
        </w:rPr>
        <w:t xml:space="preserve">1) анализ сведений, в том числе о правообладателях ранее учтенных объектов недвижимости, содержащихся в документах, находящихся в архивах и (или) в распоряжении уполномоченных органов, осуществляющих данные мероприятия; </w:t>
      </w:r>
    </w:p>
    <w:p>
      <w:pPr>
        <w:jc w:val="both"/>
        <w:ind w:firstLine="168"/>
        <w:pStyle w:val="0"/>
        <w:rPr>
          <w:sz w:val="28"/>
        </w:rPr>
      </w:pPr>
      <w:r>
        <w:rPr>
          <w:sz w:val="28"/>
        </w:rPr>
        <w:t xml:space="preserve">2) направление запросов в органы государственной власти, органы местного самоуправления, организации, осуществлявшие до дня вступления в силу Федерального закона от 21.07.1997 № 122-ФЗ «О государственной регистрации прав на недвижимое имущество и сделок с ним» учет и регистрацию прав на объекты недвижимости, а также нотариусам в целях получения сведений о правообладателях ранее учтенных объектов недвижимости, которые могут находиться в архивах и (или) в распоряжении таких органов, организаций или нотариусов; </w:t>
      </w:r>
    </w:p>
    <w:p>
      <w:pPr>
        <w:jc w:val="both"/>
        <w:ind w:firstLine="168"/>
        <w:pStyle w:val="0"/>
        <w:rPr>
          <w:sz w:val="28"/>
        </w:rPr>
      </w:pPr>
      <w:r>
        <w:rPr>
          <w:sz w:val="28"/>
        </w:rPr>
        <w:t xml:space="preserve">3)опубликование, в том числе размещения в информационнотелекоммуникационной сети «Интернет», на информационных щитах в границах населенного пункта, сообщения о способах и порядке предоставления в уполномоченные органы сведений о правообладателях ранее учтенных объектов недвижимости такими правообладателями, в том числе о порядке предоставления любыми заинтересованными лицами сведений о почтовом адресе и (или) адресе электронной почты для связи с ними в связи с проведением данных мероприятий; </w:t>
      </w:r>
    </w:p>
    <w:p>
      <w:pPr>
        <w:jc w:val="both"/>
        <w:ind w:firstLine="168"/>
        <w:pStyle w:val="0"/>
        <w:rPr>
          <w:sz w:val="28"/>
        </w:rPr>
      </w:pPr>
      <w:r>
        <w:rPr>
          <w:sz w:val="28"/>
        </w:rPr>
        <w:t xml:space="preserve">4) подготовку проекта решения о выявлении правообладателя ранее учтенного объекта недвижимости; </w:t>
      </w:r>
    </w:p>
    <w:p>
      <w:pPr>
        <w:jc w:val="both"/>
        <w:ind w:firstLine="168"/>
        <w:pStyle w:val="0"/>
        <w:rPr>
          <w:sz w:val="28"/>
        </w:rPr>
      </w:pPr>
      <w:r>
        <w:rPr>
          <w:sz w:val="28"/>
        </w:rPr>
        <w:t xml:space="preserve">5) в случае, если ранее учтенным объектом недвижимости, сведения о котором внесены в Единый государственный реестр недвижимости, является здание, сооружение или объект незавершенного строительства, прекратившие свое существование, обращение в орган регистрации прав с заявлением о снятии с государственного кадастрового учета такого объекта недвижимости; </w:t>
      </w:r>
    </w:p>
    <w:p>
      <w:pPr>
        <w:jc w:val="both"/>
        <w:ind w:firstLine="168"/>
        <w:pStyle w:val="0"/>
        <w:rPr>
          <w:sz w:val="28"/>
        </w:rPr>
      </w:pPr>
      <w:r>
        <w:rPr>
          <w:sz w:val="28"/>
        </w:rPr>
        <w:t xml:space="preserve">6) размещение в информационно-телекоммуникационной сети «Интернет» на официальном сайте муниципального образования, на территории которого расположен соответствующий ранее учтенный объект недвижимости, сведения о данном объекте недвижимости в объеме, сроке, в течение которого могут быть представлены возражения относительно сведений о правообладателе ранее учтенного объекта недвижимости; </w:t>
      </w:r>
    </w:p>
    <w:p>
      <w:pPr>
        <w:jc w:val="both"/>
        <w:ind w:firstLine="168"/>
        <w:pStyle w:val="0"/>
        <w:rPr>
          <w:sz w:val="28"/>
        </w:rPr>
      </w:pPr>
      <w:r>
        <w:rPr>
          <w:sz w:val="28"/>
        </w:rPr>
        <w:t xml:space="preserve">7) направление заказным письмом с уведомлением о вручении проекта решения лицу, выявленному, в качестве правообладателя ранее учтенного объекта недвижимости; </w:t>
      </w:r>
    </w:p>
    <w:p>
      <w:pPr>
        <w:jc w:val="both"/>
        <w:ind w:firstLine="168"/>
        <w:pStyle w:val="0"/>
        <w:rPr>
          <w:sz w:val="28"/>
        </w:rPr>
      </w:pPr>
      <w:r>
        <w:rPr>
          <w:sz w:val="28"/>
        </w:rPr>
        <w:t xml:space="preserve">8) внесение в ЕГРН сведений о правообладателях ранее учтенных объектов недвижимости. </w:t>
      </w:r>
    </w:p>
    <w:p>
      <w:pPr>
        <w:jc w:val="both"/>
        <w:pStyle w:val="0"/>
        <w:rPr>
          <w:sz w:val="28"/>
        </w:rPr>
      </w:pPr>
      <w:r>
        <w:rPr>
          <w:sz w:val="26"/>
        </w:rPr>
        <w:t xml:space="preserve">      </w:t>
      </w:r>
    </w:p>
    <w:p>
      <w:pPr>
        <w:jc w:val="both"/>
        <w:pStyle w:val="0"/>
        <w:rPr>
          <w:sz w:val="28"/>
        </w:rPr>
      </w:pPr>
    </w:p>
    <w:p>
      <w:pPr>
        <w:pStyle w:val="0"/>
        <w:rPr>
          <w:sz w:val="16"/>
        </w:rPr>
      </w:pPr>
    </w:p>
    <w:sectPr>
      <w:pgSz w:w="11906" w:h="16838"/>
      <w:pgMar w:top="540" w:bottom="851" w:left="1310" w:right="851"/>
      <w:docGrid w:linePitch="360"/>
    </w:sectPr>
  </w:body>
</w:document>
</file>

<file path=word/numbering.xml><?xml version="1.0" encoding="utf-8"?>
<w:numbering xmlns:r="http://schemas.openxmlformats.org/officeDocument/2006/relationships" xmlns:mc="http://schemas.openxmlformats.org/markup-compatibility/2006" xmlns:w="http://schemas.openxmlformats.org/wordprocessingml/2006/main">
  <w:abstractNum w:abstractNumId="1">
    <w:lvl w:ilvl="0">
      <w:numFmt w:val="decimal"/>
      <w:lvlText w:val="%1."/>
      <w:start w:val="1"/>
      <w:pPr>
        <w:ind w:left="1080" w:hanging="360"/>
      </w:pPr>
    </w:lvl>
    <w:lvl w:ilvl="1">
      <w:numFmt w:val="decimal"/>
      <w:lvlText w:val="%2."/>
      <w:start w:val="1"/>
      <w:pPr>
        <w:ind w:left="1800" w:hanging="360"/>
      </w:pPr>
    </w:lvl>
    <w:lvl w:ilvl="2">
      <w:numFmt w:val="decimal"/>
      <w:lvlText w:val="%3."/>
      <w:start w:val="1"/>
      <w:pPr>
        <w:ind w:left="2520" w:hanging="180"/>
      </w:pPr>
    </w:lvl>
    <w:lvl w:ilvl="3">
      <w:numFmt w:val="decimal"/>
      <w:lvlText w:val="%4."/>
      <w:start w:val="1"/>
      <w:pPr>
        <w:ind w:left="3240" w:hanging="360"/>
      </w:pPr>
    </w:lvl>
    <w:lvl w:ilvl="4">
      <w:numFmt w:val="decimal"/>
      <w:lvlText w:val="%5."/>
      <w:start w:val="1"/>
      <w:pPr>
        <w:ind w:left="3960" w:hanging="360"/>
      </w:pPr>
    </w:lvl>
    <w:lvl w:ilvl="5">
      <w:numFmt w:val="decimal"/>
      <w:lvlText w:val="%6."/>
      <w:start w:val="1"/>
      <w:pPr>
        <w:ind w:left="4680" w:hanging="180"/>
      </w:pPr>
    </w:lvl>
    <w:lvl w:ilvl="6">
      <w:numFmt w:val="decimal"/>
      <w:lvlText w:val="%7."/>
      <w:start w:val="1"/>
      <w:pPr>
        <w:ind w:left="5400" w:hanging="360"/>
      </w:pPr>
    </w:lvl>
    <w:lvl w:ilvl="7">
      <w:numFmt w:val="decimal"/>
      <w:lvlText w:val="%8."/>
      <w:start w:val="1"/>
      <w:pPr>
        <w:ind w:left="6120" w:hanging="360"/>
      </w:pPr>
    </w:lvl>
    <w:lvl w:ilvl="8">
      <w:numFmt w:val="decimal"/>
      <w:lvlText w:val="%9."/>
      <w:start w:val="1"/>
      <w:pPr>
        <w:ind w:left="6840" w:hanging="180"/>
      </w:pPr>
    </w:lvl>
  </w:abstractNum>
  <w:abstractNum w:abstractNumId="2">
    <w:lvl w:ilvl="0">
      <w:numFmt w:val="decimal"/>
      <w:lvlText w:val="%1."/>
      <w:start w:val="1"/>
      <w:pPr>
        <w:ind w:left="1080" w:hanging="360"/>
      </w:pPr>
    </w:lvl>
    <w:lvl w:ilvl="1">
      <w:numFmt w:val="decimal"/>
      <w:lvlText w:val="%2."/>
      <w:start w:val="1"/>
      <w:pPr>
        <w:ind w:left="1800" w:hanging="360"/>
      </w:pPr>
    </w:lvl>
    <w:lvl w:ilvl="2">
      <w:numFmt w:val="decimal"/>
      <w:lvlText w:val="%3."/>
      <w:start w:val="1"/>
      <w:pPr>
        <w:ind w:left="2520" w:hanging="180"/>
      </w:pPr>
    </w:lvl>
    <w:lvl w:ilvl="3">
      <w:numFmt w:val="decimal"/>
      <w:lvlText w:val="%4."/>
      <w:start w:val="1"/>
      <w:pPr>
        <w:ind w:left="3240" w:hanging="360"/>
      </w:pPr>
    </w:lvl>
    <w:lvl w:ilvl="4">
      <w:numFmt w:val="decimal"/>
      <w:lvlText w:val="%5."/>
      <w:start w:val="1"/>
      <w:pPr>
        <w:ind w:left="3960" w:hanging="360"/>
      </w:pPr>
    </w:lvl>
    <w:lvl w:ilvl="5">
      <w:numFmt w:val="decimal"/>
      <w:lvlText w:val="%6."/>
      <w:start w:val="1"/>
      <w:pPr>
        <w:ind w:left="4680" w:hanging="180"/>
      </w:pPr>
    </w:lvl>
    <w:lvl w:ilvl="6">
      <w:numFmt w:val="decimal"/>
      <w:lvlText w:val="%7."/>
      <w:start w:val="1"/>
      <w:pPr>
        <w:ind w:left="5400" w:hanging="360"/>
      </w:pPr>
    </w:lvl>
    <w:lvl w:ilvl="7">
      <w:numFmt w:val="decimal"/>
      <w:lvlText w:val="%8."/>
      <w:start w:val="1"/>
      <w:pPr>
        <w:ind w:left="6120" w:hanging="360"/>
      </w:pPr>
    </w:lvl>
    <w:lvl w:ilvl="8">
      <w:numFmt w:val="decimal"/>
      <w:lvlText w:val="%9."/>
      <w:start w:val="1"/>
      <w:pPr>
        <w:ind w:left="6840" w:hanging="180"/>
      </w:pPr>
    </w:lvl>
  </w:abstractNum>
  <w:abstractNum w:abstractNumId="3">
    <w:lvl w:ilvl="0">
      <w:numFmt w:val="decimal"/>
      <w:lvlText w:val="%1."/>
      <w:start w:val="1"/>
      <w:pPr>
        <w:ind w:left="1068" w:hanging="360"/>
      </w:pPr>
    </w:lvl>
    <w:lvl w:ilvl="1">
      <w:numFmt w:val="decimal"/>
      <w:lvlText w:val="%2."/>
      <w:start w:val="1"/>
      <w:pPr>
        <w:ind w:left="1788" w:hanging="360"/>
      </w:pPr>
    </w:lvl>
    <w:lvl w:ilvl="2">
      <w:numFmt w:val="decimal"/>
      <w:lvlText w:val="%3."/>
      <w:start w:val="1"/>
      <w:pPr>
        <w:ind w:left="2508" w:hanging="180"/>
      </w:pPr>
    </w:lvl>
    <w:lvl w:ilvl="3">
      <w:numFmt w:val="decimal"/>
      <w:lvlText w:val="%4."/>
      <w:start w:val="1"/>
      <w:pPr>
        <w:ind w:left="3228" w:hanging="360"/>
      </w:pPr>
    </w:lvl>
    <w:lvl w:ilvl="4">
      <w:numFmt w:val="decimal"/>
      <w:lvlText w:val="%5."/>
      <w:start w:val="1"/>
      <w:pPr>
        <w:ind w:left="3948" w:hanging="360"/>
      </w:pPr>
    </w:lvl>
    <w:lvl w:ilvl="5">
      <w:numFmt w:val="decimal"/>
      <w:lvlText w:val="%6."/>
      <w:start w:val="1"/>
      <w:pPr>
        <w:ind w:left="4668" w:hanging="180"/>
      </w:pPr>
    </w:lvl>
    <w:lvl w:ilvl="6">
      <w:numFmt w:val="decimal"/>
      <w:lvlText w:val="%7."/>
      <w:start w:val="1"/>
      <w:pPr>
        <w:ind w:left="5388" w:hanging="360"/>
      </w:pPr>
    </w:lvl>
    <w:lvl w:ilvl="7">
      <w:numFmt w:val="decimal"/>
      <w:lvlText w:val="%8."/>
      <w:start w:val="1"/>
      <w:pPr>
        <w:ind w:left="6108" w:hanging="360"/>
      </w:pPr>
    </w:lvl>
    <w:lvl w:ilvl="8">
      <w:numFmt w:val="decimal"/>
      <w:lvlText w:val="%9."/>
      <w:start w:val="1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defaultTabStop w:val="720"/>
  <w:compat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mc="http://schemas.openxmlformats.org/markup-compatibility/2006" xmlns:w="http://schemas.openxmlformats.org/wordprocessingml/2006/main">
  <w:docDefaults>
    <w:rPrDefault>
      <w:rPr>
        <w:rFonts w:hAnsi="Times New Roman" w:ascii="Times New Roman"/>
        <w:sz w:val="20"/>
      </w:rPr>
    </w:rPrDefault>
    <w:pPrDefault>
      <w:pPr>
        <w:spacing w:lineRule="auto" w:line="240.0"/>
      </w:pPr>
    </w:pPrDefault>
  </w:docDefaults>
  <w:style w:styleId="15" w:type="paragraph">
    <w:name w:val="Основной текст с отступом"/>
    <w:pPr>
      <w:jc w:val="both"/>
      <w:ind w:firstLine="540"/>
    </w:pPr>
    <w:rPr>
      <w:sz w:val="28"/>
    </w:rPr>
  </w:style>
  <w:style w:styleId="17" w:type="paragraph">
    <w:name w:val="ConsPlusNormal"/>
    <w:pPr>
      <w:ind w:firstLine="720"/>
    </w:pPr>
    <w:rPr>
      <w:rFonts w:hAnsi="Arial" w:ascii="Arial"/>
    </w:rPr>
  </w:style>
  <w:style w:styleId="16" w:type="paragraph">
    <w:name w:val="ConsPlusTitle"/>
    <w:rPr>
      <w:rFonts w:hAnsi="Arial" w:ascii="Arial"/>
      <w:sz w:val="16"/>
      <w:b w:val="1"/>
    </w:rPr>
  </w:style>
  <w:style w:styleId="18" w:type="paragraph">
    <w:name w:val="Текст выноски"/>
    <w:rPr>
      <w:rFonts w:hAnsi="Tahoma" w:ascii="Tahoma"/>
      <w:sz w:val="16"/>
    </w:rPr>
  </w:style>
  <w:style w:styleId="1" w:type="paragraph">
    <w:name w:val="Заголовок 1"/>
    <w:pPr>
      <w:jc w:val="right"/>
    </w:pPr>
    <w:rPr>
      <w:sz w:val="24"/>
    </w:rPr>
  </w:style>
  <w:style w:styleId="0" w:type="paragraph">
    <w:name w:val="Обычный"/>
    <w:rPr>
      <w:sz w:val="24"/>
    </w:rPr>
  </w:style>
</w:styles>
</file>

<file path=word/_rels/document.xml.rels><?xml version='1.0' encoding='utf-8' standalone='yes'?>
<Relationships xmlns="http://schemas.openxmlformats.org/package/2006/relationships"><Relationship Id="rId1" Target="numbering.xml" Type="http://schemas.openxmlformats.org/officeDocument/2006/relationships/numbering"/><Relationship Id="rId2" Target="settings.xml" Type="http://schemas.openxmlformats.org/officeDocument/2006/relationships/settings"/><Relationship Id="rId3" Target="styles.xml" Type="http://schemas.openxmlformats.org/officeDocument/2006/relationships/styles"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MailRU docs</Application>
</Properties>
</file>

<file path=docProps/core.xml><?xml version="1.0" encoding="utf-8"?>
<cp:coreProperties xmlns:dcterms="http://purl.org/dc/terms/" xmlns:dcmitype="http://purl.org/dc/dcmitype/" xmlns:cp="http://schemas.openxmlformats.org/package/2006/metadata/core-properties" xmlns:dc="http://purl.org/dc/elements/1.1/" xmlns:xsi="http://www.w3.org/2001/XMLSchema-instance">
  <dc:title>сайт (копия 1).docx</dc:title>
</cp:coreProperties>
</file>